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32E5">
      <w:pPr>
        <w:spacing w:after="0"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2"/>
          <w:szCs w:val="32"/>
        </w:rPr>
        <w:t>《浙江浙医五官科医院污水处理站运维服务需求清单》</w:t>
      </w:r>
    </w:p>
    <w:p w14:paraId="074CA2B3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具体内容如下：</w:t>
      </w:r>
    </w:p>
    <w:p w14:paraId="6F2AA781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一、日常运维要求</w:t>
      </w:r>
    </w:p>
    <w:p w14:paraId="60E12F60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运行操作：安排专人值守（</w:t>
      </w:r>
      <w:r>
        <w:rPr>
          <w:rFonts w:hint="eastAsia" w:ascii="Times New Roman" w:hAnsi="Times New Roman" w:eastAsia="宋体" w:cs="Times New Roman"/>
          <w:sz w:val="28"/>
          <w:szCs w:val="28"/>
        </w:rPr>
        <w:t>长白班、夜间电话值守</w:t>
      </w:r>
      <w:r>
        <w:rPr>
          <w:rFonts w:ascii="Times New Roman" w:hAnsi="Times New Roman" w:eastAsia="宋体" w:cs="Times New Roman"/>
          <w:sz w:val="28"/>
          <w:szCs w:val="28"/>
        </w:rPr>
        <w:t>），严格按照污水处理站操作规程启动、运行、停止各类设备，做好运行记录（含进水水量、出水水质、设备运行参数、药剂投放量等），每日提交运行日报，每月提交运行月报。</w:t>
      </w:r>
    </w:p>
    <w:p w14:paraId="25220BCE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药剂管理：负责污水处理所需药剂</w:t>
      </w:r>
      <w:r>
        <w:rPr>
          <w:rFonts w:ascii="Times New Roman" w:hAnsi="Times New Roman" w:eastAsia="宋体" w:cs="Times New Roman"/>
          <w:b w:val="0"/>
          <w:bCs w:val="0"/>
          <w:sz w:val="28"/>
          <w:szCs w:val="28"/>
        </w:rPr>
        <w:t>（PAC、PAM</w:t>
      </w:r>
      <w:r>
        <w:rPr>
          <w:rFonts w:ascii="Times New Roman" w:hAnsi="Times New Roman" w:eastAsia="宋体" w:cs="Times New Roman"/>
          <w:sz w:val="28"/>
          <w:szCs w:val="28"/>
        </w:rPr>
        <w:t>、消毒剂等）的采购、运输、储存及投放，确保药剂质量符合国家标准，储存环境安全规范，药剂投放精准，避免浪费及二次污染。</w:t>
      </w:r>
    </w:p>
    <w:p w14:paraId="5DB41B68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水质检测：每日对污水进水、出水进行自检（检测指标包括pH值、余氯、COD、悬浮物等），每周委托具备资质的第三方检测机构进行全指标检测，每月向医院及当地环保部门提交检测报告，确保检测数据真实、完整、可追溯。</w:t>
      </w:r>
    </w:p>
    <w:p w14:paraId="5F7BD1F1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二、设备维护与维修要求</w:t>
      </w:r>
    </w:p>
    <w:p w14:paraId="1437240E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日常巡检：每日对水泵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ascii="Times New Roman" w:hAnsi="Times New Roman" w:eastAsia="宋体" w:cs="Times New Roman"/>
          <w:sz w:val="28"/>
          <w:szCs w:val="28"/>
        </w:rPr>
        <w:t>风机、消毒设备等所有污水处理设备进行巡检，排查设备运行隐患，做好巡检记录，发现问题及时处理。</w:t>
      </w:r>
    </w:p>
    <w:p w14:paraId="112866A0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定期维护：按照设备说明书及运维规范，定期对设备进行清洁、润滑、调试、校准，每月进行一次小型维护，每季度进行一次全面维护，每年进行一次大修，确保设备完好率≥98%，正常运行率≥99%。</w:t>
      </w:r>
    </w:p>
    <w:p w14:paraId="7AB5E3FF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故障维修：接到设备故障通知后，</w:t>
      </w:r>
      <w:r>
        <w:rPr>
          <w:rFonts w:ascii="Times New Roman" w:hAnsi="Times New Roman" w:eastAsia="宋体" w:cs="Times New Roman"/>
          <w:b w:val="0"/>
          <w:bCs w:val="0"/>
          <w:sz w:val="28"/>
          <w:szCs w:val="28"/>
        </w:rPr>
        <w:t>运维人员需在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</w:rPr>
        <w:t>1小时响应，4</w:t>
      </w:r>
      <w:r>
        <w:rPr>
          <w:rFonts w:ascii="Times New Roman" w:hAnsi="Times New Roman" w:eastAsia="宋体" w:cs="Times New Roman"/>
          <w:b w:val="0"/>
          <w:bCs w:val="0"/>
          <w:sz w:val="28"/>
          <w:szCs w:val="28"/>
        </w:rPr>
        <w:t>小时内到场处置，一般故障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eastAsia="宋体" w:cs="Times New Roman"/>
          <w:b w:val="0"/>
          <w:bCs w:val="0"/>
          <w:sz w:val="28"/>
          <w:szCs w:val="28"/>
        </w:rPr>
        <w:t>小时内解决，重大故障24小时内解决（特殊情况需提前书面说明），故障期间需采取应急措施，确保</w:t>
      </w:r>
      <w:r>
        <w:rPr>
          <w:rFonts w:ascii="Times New Roman" w:hAnsi="Times New Roman" w:eastAsia="宋体" w:cs="Times New Roman"/>
          <w:sz w:val="28"/>
          <w:szCs w:val="28"/>
        </w:rPr>
        <w:t>污水不直排、不超标。</w:t>
      </w:r>
    </w:p>
    <w:p w14:paraId="501599FF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三、污泥及危废处理要求</w:t>
      </w:r>
    </w:p>
    <w:p w14:paraId="512CBC78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污泥处理：负责污水处理过程中产生的污泥（危废）的收集、储存、脱水处理，严格按照危废管理相关规定，委托具备危废处置资质的单位进行处置，做好污泥转移联单、处置记录等资料归档，确保污泥处置合规。</w:t>
      </w:r>
    </w:p>
    <w:p w14:paraId="369F0875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危废管理：妥善保管污水处理过程中产生的危废（如废药剂桶、废滤芯等），分类存放，张贴危废标识，定期委托合规单位处置，杜绝危废泄漏、丢失。</w:t>
      </w:r>
    </w:p>
    <w:p w14:paraId="71D47D25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四、环保迎检及资料管理要求</w:t>
      </w:r>
    </w:p>
    <w:p w14:paraId="7A539895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迎检配合：积极配合医院及当地环保部门的各类检查、督查工作，提前准备好运维记录、检测报告、设备台账等相关资料，确保检查顺利通过。</w:t>
      </w:r>
    </w:p>
    <w:p w14:paraId="3B91CF38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资料归档：建立完整的运维档案，包括运行记录、检测报告、设备台账、维护维修记录、污泥处置记录、药剂采购记录等，档案留存期限不少于服务期限届满后3年，可随时供医院及相关部门查阅。</w:t>
      </w:r>
    </w:p>
    <w:p w14:paraId="6FD56920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五、应急处置要求</w:t>
      </w:r>
    </w:p>
    <w:p w14:paraId="085E3ED7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制定完善的应急处置方案（如进水超标、设备故障、停电、暴雨等突发情况），配备应急设备及物资，定期组织应急演练。</w:t>
      </w:r>
    </w:p>
    <w:p w14:paraId="3A771A1A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发生突发情况时，立即启动应急方案，第一时间通知医院相关负责人，采取有效措施控制事态，避免污水超标排放及环境污染，事后提交应急处置报告。</w:t>
      </w:r>
    </w:p>
    <w:p w14:paraId="014346BB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六、服务考核要求</w:t>
      </w:r>
    </w:p>
    <w:p w14:paraId="0A9FF90D"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医院每月对运维服务质量进行考核，考核指标包括出水水质达标率、设备运行率、运维记录完整性、应急响应速度等，考核不合格的，按合同约定扣除相应服务费用，连续3次考核不合格，医院有权终止合同。</w:t>
      </w:r>
    </w:p>
    <w:p w14:paraId="6E9157F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CE"/>
    <w:rsid w:val="000427F7"/>
    <w:rsid w:val="00047269"/>
    <w:rsid w:val="00081695"/>
    <w:rsid w:val="000C14CF"/>
    <w:rsid w:val="001251C6"/>
    <w:rsid w:val="00233887"/>
    <w:rsid w:val="00266D86"/>
    <w:rsid w:val="002B4351"/>
    <w:rsid w:val="002D43A4"/>
    <w:rsid w:val="003C381B"/>
    <w:rsid w:val="00437565"/>
    <w:rsid w:val="004E17F3"/>
    <w:rsid w:val="00701996"/>
    <w:rsid w:val="007766F6"/>
    <w:rsid w:val="00881F7B"/>
    <w:rsid w:val="008B7708"/>
    <w:rsid w:val="008F133E"/>
    <w:rsid w:val="009E3ECE"/>
    <w:rsid w:val="00A25176"/>
    <w:rsid w:val="00A47068"/>
    <w:rsid w:val="00B535F2"/>
    <w:rsid w:val="00D15A5C"/>
    <w:rsid w:val="00FA1CAC"/>
    <w:rsid w:val="1F2A3729"/>
    <w:rsid w:val="446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1167</Characters>
  <Lines>27</Lines>
  <Paragraphs>21</Paragraphs>
  <TotalTime>7</TotalTime>
  <ScaleCrop>false</ScaleCrop>
  <LinksUpToDate>false</LinksUpToDate>
  <CharactersWithSpaces>1179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2026-04-14T08:56:00Z</dcterms:created>
  <dc:creator>黄黄黄</dc:creator>
  <cp:lastModifiedBy>7</cp:lastModifiedBy>
  <dcterms:modified xsi:type="dcterms:W3CDTF">2026-04-15T02:54:06Z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AD468D7CB442425E9EC5E1AA4CB073D8_13</vt:lpwstr>
  </property>
</Properties>
</file>